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Rosario" w:cs="Rosario" w:eastAsia="Rosario" w:hAnsi="Rosario"/>
          <w:b w:val="1"/>
          <w:color w:val="222222"/>
          <w:u w:val="single"/>
        </w:rPr>
      </w:pPr>
      <w:r w:rsidDel="00000000" w:rsidR="00000000" w:rsidRPr="00000000">
        <w:rPr>
          <w:rFonts w:ascii="Rosario" w:cs="Rosario" w:eastAsia="Rosario" w:hAnsi="Rosario"/>
          <w:b w:val="1"/>
          <w:color w:val="222222"/>
          <w:u w:val="single"/>
          <w:rtl w:val="0"/>
        </w:rPr>
        <w:t xml:space="preserve">EGG FREE DIET 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all food products that contain </w:t>
      </w:r>
      <w:r w:rsidDel="00000000" w:rsidR="00000000" w:rsidRPr="00000000">
        <w:rPr>
          <w:rFonts w:ascii="Rosario" w:cs="Rosario" w:eastAsia="Rosario" w:hAnsi="Rosario"/>
          <w:b w:val="1"/>
          <w:color w:val="222222"/>
          <w:sz w:val="22"/>
          <w:szCs w:val="22"/>
          <w:u w:val="single"/>
          <w:rtl w:val="0"/>
        </w:rPr>
        <w:t xml:space="preserve">egg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as an ingredient (required by U.S. law to list the word </w:t>
      </w:r>
      <w:r w:rsidDel="00000000" w:rsidR="00000000" w:rsidRPr="00000000">
        <w:rPr>
          <w:rFonts w:ascii="Rosario" w:cs="Rosario" w:eastAsia="Rosario" w:hAnsi="Rosario"/>
          <w:b w:val="1"/>
          <w:color w:val="222222"/>
          <w:sz w:val="22"/>
          <w:szCs w:val="22"/>
          <w:u w:val="single"/>
          <w:rtl w:val="0"/>
        </w:rPr>
        <w:t xml:space="preserve">“egg”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on the product label.)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foods that use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other words that mean, contain or may contain egg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albumin        </w:t>
        <w:tab/>
        <w:tab/>
        <w:t xml:space="preserve">mayonnaise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eggnog        </w:t>
        <w:tab/>
        <w:tab/>
        <w:t xml:space="preserve">meringue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globulin        </w:t>
        <w:tab/>
        <w:tab/>
        <w:t xml:space="preserve">nougat        </w:t>
        <w:tab/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lecithin        </w:t>
        <w:tab/>
        <w:tab/>
        <w:t xml:space="preserve">ovalbumin        </w:t>
        <w:tab/>
        <w:t xml:space="preserve">        </w:t>
        <w:tab/>
        <w:t xml:space="preserve">        </w:t>
        <w:tab/>
        <w:t xml:space="preserve">        </w:t>
        <w:tab/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livetin        </w:t>
        <w:tab/>
        <w:tab/>
        <w:t xml:space="preserve">ovomucin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lysozyme        </w:t>
        <w:tab/>
        <w:tab/>
        <w:t xml:space="preserve">ovomucoid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marzipan        </w:t>
        <w:tab/>
        <w:tab/>
        <w:t xml:space="preserve">ovovitellin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marshmallow        </w:t>
        <w:tab/>
        <w:t xml:space="preserve">surimi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Egg is sometimes found in baked goods and egg substitutes.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Rosario" w:cs="Rosario" w:eastAsia="Rosario" w:hAnsi="Rosario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 shiny glaze or yellow baked good may indicate egg.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Rosario" w:cs="Rosario" w:eastAsia="Rosario" w:hAnsi="Rosario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Simplesse is a fat substitute that can be made from egg or milk.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Rosario" w:cs="Rosario" w:eastAsia="Rosario" w:hAnsi="Rosario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Clarifying agents in soup, stock, bouillon, coffee, consumme may contain egg.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Egg replacement recipe- for each egg in a recipe, can use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one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of the following: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1 teaspoon baking powder, 1 tablespoon water, 1 tablespoon vinegar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1 teaspoon yeast dissolved in ¼ cup warm water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1 tablespoon apricot puree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1 ½ tablespoon water, 1 ½ tablespoon oil, 1 teaspoon baking powder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1 packet of gelatin, 2 tablespoons warm water (mix when ready to use)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Egg replacer from Ener-G foods (ener-g.com, 1-800-331-5222)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For additional information:</w:t>
      </w:r>
      <w:hyperlink r:id="rId6">
        <w:r w:rsidDel="00000000" w:rsidR="00000000" w:rsidRPr="00000000">
          <w:rPr>
            <w:rFonts w:ascii="Rosario" w:cs="Rosario" w:eastAsia="Rosario" w:hAnsi="Rosario"/>
            <w:color w:val="222222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sario" w:cs="Rosario" w:eastAsia="Rosario" w:hAnsi="Rosario"/>
            <w:color w:val="1155cc"/>
            <w:sz w:val="22"/>
            <w:szCs w:val="22"/>
            <w:u w:val="single"/>
            <w:rtl w:val="0"/>
          </w:rPr>
          <w:t xml:space="preserve">www.foodallergy.org</w:t>
        </w:r>
      </w:hyperlink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, 1-800-929-404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0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sari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3"/>
      <w:tblW w:w="11670.0" w:type="dxa"/>
      <w:jc w:val="left"/>
      <w:tblInd w:w="-105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835"/>
      <w:gridCol w:w="5835"/>
      <w:tblGridChange w:id="0">
        <w:tblGrid>
          <w:gridCol w:w="5835"/>
          <w:gridCol w:w="5835"/>
        </w:tblGrid>
      </w:tblGridChange>
    </w:tblGrid>
    <w:tr>
      <w:trPr>
        <w:trHeight w:val="1380" w:hRule="atLeast"/>
      </w:trPr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559 Broad St.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Newark NJ 07102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(973) 424-1300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(973) 424-1722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240 Williamson St. Ste 401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Elizabeth, NJ 07202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(908) 469-4206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(908) 469-4207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4"/>
      <w:tblW w:w="11880.0" w:type="dxa"/>
      <w:jc w:val="left"/>
      <w:tblInd w:w="-116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940"/>
      <w:gridCol w:w="5940"/>
      <w:tblGridChange w:id="0">
        <w:tblGrid>
          <w:gridCol w:w="5940"/>
          <w:gridCol w:w="5940"/>
        </w:tblGrid>
      </w:tblGridChange>
    </w:tblGrid>
    <w:tr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240 Willamson St. Suite 401, 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Elizabeth, NJ 07202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(908) 469-4206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(908) 469-4207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559 Broad St.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Newark NJ 07102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(973) 424-1300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(973) 424-1722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jc w:val="center"/>
      <w:rPr>
        <w:color w:val="ff3333"/>
        <w:sz w:val="18"/>
        <w:szCs w:val="18"/>
      </w:rPr>
    </w:pPr>
    <w:r w:rsidDel="00000000" w:rsidR="00000000" w:rsidRPr="00000000">
      <w:rPr>
        <w:color w:val="ff3333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1350" w:firstLine="0"/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1940.0" w:type="dxa"/>
      <w:jc w:val="left"/>
      <w:tblInd w:w="-125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715"/>
      <w:gridCol w:w="6225"/>
      <w:tblGridChange w:id="0">
        <w:tblGrid>
          <w:gridCol w:w="5715"/>
          <w:gridCol w:w="622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ind w:left="75" w:firstLine="0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ind w:left="75" w:firstLine="0"/>
            <w:contextualSpacing w:val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57325" cy="59055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15007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ind w:left="-1350" w:firstLine="0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16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940"/>
      <w:gridCol w:w="5940"/>
      <w:tblGridChange w:id="0">
        <w:tblGrid>
          <w:gridCol w:w="5940"/>
          <w:gridCol w:w="594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ff3333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spacing w:after="0" w:line="240" w:lineRule="auto"/>
            <w:ind w:right="-285"/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709863" cy="1164096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19897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9863" cy="1164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ff3333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rFonts w:ascii="Rosario" w:cs="Rosario" w:eastAsia="Rosario" w:hAnsi="Rosario"/>
              <w:sz w:val="22"/>
              <w:szCs w:val="22"/>
            </w:rPr>
          </w:pPr>
          <w:r w:rsidDel="00000000" w:rsidR="00000000" w:rsidRPr="00000000">
            <w:rPr>
              <w:rFonts w:ascii="Rosario" w:cs="Rosario" w:eastAsia="Rosario" w:hAnsi="Rosario"/>
              <w:sz w:val="22"/>
              <w:szCs w:val="22"/>
              <w:rtl w:val="0"/>
            </w:rPr>
            <w:t xml:space="preserve">Dr. Satya Narisety MD</w:t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sz w:val="18"/>
              <w:szCs w:val="18"/>
              <w:rtl w:val="0"/>
            </w:rPr>
            <w:t xml:space="preserve">www.njallergymd.com</w:t>
          </w:r>
        </w:p>
      </w:tc>
    </w:tr>
  </w:tbl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layfair Display" w:cs="Playfair Display" w:eastAsia="Playfair Display" w:hAnsi="Playfair Displ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0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 Medium" w:cs="Roboto Medium" w:eastAsia="Roboto Medium" w:hAnsi="Roboto Medium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foodallergy.org" TargetMode="External"/><Relationship Id="rId7" Type="http://schemas.openxmlformats.org/officeDocument/2006/relationships/hyperlink" Target="http://www.foodallergy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11" Type="http://schemas.openxmlformats.org/officeDocument/2006/relationships/font" Target="fonts/Rosario-italic.ttf"/><Relationship Id="rId10" Type="http://schemas.openxmlformats.org/officeDocument/2006/relationships/font" Target="fonts/Rosario-bold.ttf"/><Relationship Id="rId12" Type="http://schemas.openxmlformats.org/officeDocument/2006/relationships/font" Target="fonts/Rosario-boldItalic.ttf"/><Relationship Id="rId9" Type="http://schemas.openxmlformats.org/officeDocument/2006/relationships/font" Target="fonts/Rosari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