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Rosario" w:cs="Rosario" w:eastAsia="Rosario" w:hAnsi="Rosario"/>
          <w:b w:val="1"/>
          <w:color w:val="222222"/>
          <w:u w:val="single"/>
        </w:rPr>
      </w:pPr>
      <w:r w:rsidDel="00000000" w:rsidR="00000000" w:rsidRPr="00000000">
        <w:rPr>
          <w:rFonts w:ascii="Rosario" w:cs="Rosario" w:eastAsia="Rosario" w:hAnsi="Rosario"/>
          <w:b w:val="1"/>
          <w:color w:val="222222"/>
          <w:u w:val="single"/>
          <w:rtl w:val="0"/>
        </w:rPr>
        <w:t xml:space="preserve">SESAME FREE DIET INFORMATION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Avoid all food products that contain </w:t>
      </w:r>
      <w:r w:rsidDel="00000000" w:rsidR="00000000" w:rsidRPr="00000000">
        <w:rPr>
          <w:rFonts w:ascii="Rosario" w:cs="Rosario" w:eastAsia="Rosario" w:hAnsi="Rosario"/>
          <w:b w:val="1"/>
          <w:color w:val="222222"/>
          <w:sz w:val="22"/>
          <w:szCs w:val="22"/>
          <w:u w:val="single"/>
          <w:rtl w:val="0"/>
        </w:rPr>
        <w:t xml:space="preserve">sesame</w:t>
      </w: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 (benne, gingelly, til, teel, simsin, anjonjoli) as an ingredient (</w:t>
      </w:r>
      <w:r w:rsidDel="00000000" w:rsidR="00000000" w:rsidRPr="00000000">
        <w:rPr>
          <w:rFonts w:ascii="Rosario" w:cs="Rosario" w:eastAsia="Rosario" w:hAnsi="Rosario"/>
          <w:b w:val="1"/>
          <w:color w:val="222222"/>
          <w:sz w:val="22"/>
          <w:szCs w:val="22"/>
          <w:u w:val="single"/>
          <w:rtl w:val="0"/>
        </w:rPr>
        <w:t xml:space="preserve">not</w:t>
      </w: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 required by U.S. law to list separately on the product label.)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Avoid foods that use </w:t>
      </w: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u w:val="single"/>
          <w:rtl w:val="0"/>
        </w:rPr>
        <w:t xml:space="preserve">other words that mean, contain or may contain </w:t>
      </w:r>
      <w:r w:rsidDel="00000000" w:rsidR="00000000" w:rsidRPr="00000000">
        <w:rPr>
          <w:rFonts w:ascii="Rosario" w:cs="Rosario" w:eastAsia="Rosario" w:hAnsi="Rosario"/>
          <w:b w:val="1"/>
          <w:color w:val="222222"/>
          <w:sz w:val="22"/>
          <w:szCs w:val="22"/>
          <w:u w:val="single"/>
          <w:rtl w:val="0"/>
        </w:rPr>
        <w:t xml:space="preserve">sesame</w:t>
      </w: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0"/>
          <w:szCs w:val="20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     </w:t>
        <w:tab/>
        <w:tab/>
      </w: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aqua libra     </w:t>
        <w:tab/>
        <w:tab/>
        <w:t xml:space="preserve">muesli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0"/>
          <w:szCs w:val="20"/>
        </w:rPr>
      </w:pP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     </w:t>
        <w:tab/>
        <w:tab/>
        <w:t xml:space="preserve">bakery products     </w:t>
        <w:tab/>
        <w:t xml:space="preserve">processed meats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0"/>
          <w:szCs w:val="20"/>
        </w:rPr>
      </w:pP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     </w:t>
        <w:tab/>
        <w:tab/>
        <w:t xml:space="preserve">bagels     </w:t>
        <w:tab/>
        <w:tab/>
        <w:t xml:space="preserve">sausages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0"/>
          <w:szCs w:val="20"/>
        </w:rPr>
      </w:pP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     </w:t>
        <w:tab/>
        <w:tab/>
        <w:t xml:space="preserve">chutneys     </w:t>
        <w:tab/>
        <w:tab/>
        <w:t xml:space="preserve">sauces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0"/>
          <w:szCs w:val="20"/>
        </w:rPr>
      </w:pP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     </w:t>
        <w:tab/>
        <w:tab/>
        <w:t xml:space="preserve">confection bars     </w:t>
        <w:tab/>
        <w:t xml:space="preserve">stir fries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0"/>
          <w:szCs w:val="20"/>
          <w:u w:val="single"/>
        </w:rPr>
      </w:pP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     </w:t>
        <w:tab/>
        <w:tab/>
        <w:t xml:space="preserve">dips     </w:t>
        <w:tab/>
        <w:tab/>
        <w:tab/>
        <w:t xml:space="preserve">tahini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0"/>
          <w:szCs w:val="20"/>
        </w:rPr>
      </w:pP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     </w:t>
        <w:tab/>
        <w:tab/>
        <w:t xml:space="preserve">halvah     </w:t>
        <w:tab/>
        <w:tab/>
        <w:t xml:space="preserve">veggie burgers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0"/>
          <w:szCs w:val="20"/>
        </w:rPr>
      </w:pP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     </w:t>
        <w:tab/>
        <w:tab/>
        <w:t xml:space="preserve">hummus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        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Avoid </w:t>
      </w: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u w:val="single"/>
          <w:rtl w:val="0"/>
        </w:rPr>
        <w:t xml:space="preserve">sesame oil</w:t>
      </w: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 which is popular in: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0"/>
          <w:szCs w:val="20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     </w:t>
        <w:tab/>
        <w:tab/>
      </w: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cosmetics (sesamum indicum)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0"/>
          <w:szCs w:val="20"/>
        </w:rPr>
      </w:pP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     </w:t>
        <w:tab/>
        <w:tab/>
        <w:t xml:space="preserve">marinades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0"/>
          <w:szCs w:val="20"/>
        </w:rPr>
      </w:pP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     </w:t>
        <w:tab/>
        <w:tab/>
        <w:t xml:space="preserve">salad dressing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0"/>
          <w:szCs w:val="20"/>
        </w:rPr>
      </w:pP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     </w:t>
        <w:tab/>
        <w:tab/>
        <w:t xml:space="preserve">sauces (such as barbecue)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0"/>
          <w:szCs w:val="20"/>
        </w:rPr>
      </w:pPr>
      <w:r w:rsidDel="00000000" w:rsidR="00000000" w:rsidRPr="00000000">
        <w:rPr>
          <w:rFonts w:ascii="Rosario" w:cs="Rosario" w:eastAsia="Rosario" w:hAnsi="Rosario"/>
          <w:color w:val="222222"/>
          <w:sz w:val="20"/>
          <w:szCs w:val="20"/>
          <w:rtl w:val="0"/>
        </w:rPr>
        <w:t xml:space="preserve">     </w:t>
        <w:tab/>
        <w:tab/>
        <w:t xml:space="preserve">skin care products (such as lotions, liniments, ointments and soaps)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Avoid Middle Eastern and Asian cuisine.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Rosario" w:cs="Rosario" w:eastAsia="Rosario" w:hAnsi="Rosario"/>
          <w:color w:val="222222"/>
          <w:sz w:val="22"/>
          <w:szCs w:val="22"/>
        </w:rPr>
      </w:pP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For additional information:</w:t>
      </w:r>
      <w:hyperlink r:id="rId6">
        <w:r w:rsidDel="00000000" w:rsidR="00000000" w:rsidRPr="00000000">
          <w:rPr>
            <w:rFonts w:ascii="Rosario" w:cs="Rosario" w:eastAsia="Rosario" w:hAnsi="Rosario"/>
            <w:color w:val="222222"/>
            <w:sz w:val="22"/>
            <w:szCs w:val="22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Rosario" w:cs="Rosario" w:eastAsia="Rosario" w:hAnsi="Rosario"/>
            <w:color w:val="1155cc"/>
            <w:sz w:val="22"/>
            <w:szCs w:val="22"/>
            <w:u w:val="single"/>
            <w:rtl w:val="0"/>
          </w:rPr>
          <w:t xml:space="preserve">www.foodallergy.org</w:t>
        </w:r>
      </w:hyperlink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, 1-800-929-404</w:t>
      </w:r>
      <w:r w:rsidDel="00000000" w:rsidR="00000000" w:rsidRPr="00000000">
        <w:rPr>
          <w:rFonts w:ascii="Rosario" w:cs="Rosario" w:eastAsia="Rosario" w:hAnsi="Rosario"/>
          <w:color w:val="222222"/>
          <w:sz w:val="22"/>
          <w:szCs w:val="22"/>
          <w:rtl w:val="0"/>
        </w:rPr>
        <w:t xml:space="preserve">0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Roboto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Rosari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tbl>
    <w:tblPr>
      <w:tblStyle w:val="Table3"/>
      <w:tblW w:w="11655.0" w:type="dxa"/>
      <w:jc w:val="left"/>
      <w:tblInd w:w="-1055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835"/>
      <w:gridCol w:w="5820"/>
      <w:tblGridChange w:id="0">
        <w:tblGrid>
          <w:gridCol w:w="5835"/>
          <w:gridCol w:w="5820"/>
        </w:tblGrid>
      </w:tblGridChange>
    </w:tblGrid>
    <w:tr>
      <w:trPr>
        <w:trHeight w:val="1380" w:hRule="atLeast"/>
      </w:trPr>
      <w:tc>
        <w:tcPr>
          <w:tcBorders>
            <w:top w:color="ff3333" w:space="0" w:sz="8" w:val="single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left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559 Broad St.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left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Newark NJ 07102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left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Tel: (973) 424-1300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rPr>
              <w:rFonts w:ascii="Rosario" w:cs="Rosario" w:eastAsia="Rosario" w:hAnsi="Rosario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Fax: (973) 424-1722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3333" w:space="0" w:sz="8" w:val="single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right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240 Williamson St. Ste 401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right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Elizabeth, NJ 07202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right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Tel: (908) 469-4206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right"/>
            <w:rPr>
              <w:rFonts w:ascii="Rosario" w:cs="Rosario" w:eastAsia="Rosario" w:hAnsi="Rosario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Fax: (908) 469-4207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contextualSpacing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tbl>
    <w:tblPr>
      <w:tblStyle w:val="Table4"/>
      <w:tblW w:w="11880.0" w:type="dxa"/>
      <w:jc w:val="left"/>
      <w:tblInd w:w="-116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940"/>
      <w:gridCol w:w="5940"/>
      <w:tblGridChange w:id="0">
        <w:tblGrid>
          <w:gridCol w:w="5940"/>
          <w:gridCol w:w="5940"/>
        </w:tblGrid>
      </w:tblGridChange>
    </w:tblGrid>
    <w:tr>
      <w:tc>
        <w:tcPr>
          <w:tcBorders>
            <w:top w:color="ff3333" w:space="0" w:sz="8" w:val="single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240 Willamson St. Suite 401, 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Elizabeth, NJ 07202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Tel: (908) 469-4206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rPr>
              <w:rFonts w:ascii="Rosario" w:cs="Rosario" w:eastAsia="Rosario" w:hAnsi="Rosario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Fax: (908) 469-4207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3333" w:space="0" w:sz="8" w:val="single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right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559 Broad St.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right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Newark NJ 07102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right"/>
            <w:rPr>
              <w:rFonts w:ascii="Rosario" w:cs="Rosario" w:eastAsia="Rosario" w:hAnsi="Rosario"/>
              <w:color w:val="0e3c53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Tel: (973) 424-1300</w:t>
          </w:r>
        </w:p>
        <w:p w:rsidR="00000000" w:rsidDel="00000000" w:rsidP="00000000" w:rsidRDefault="00000000" w:rsidRPr="00000000">
          <w:pPr>
            <w:widowControl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spacing w:line="240" w:lineRule="auto"/>
            <w:contextualSpacing w:val="0"/>
            <w:jc w:val="right"/>
            <w:rPr>
              <w:rFonts w:ascii="Rosario" w:cs="Rosario" w:eastAsia="Rosario" w:hAnsi="Rosario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color w:val="0e3c53"/>
              <w:sz w:val="18"/>
              <w:szCs w:val="18"/>
              <w:rtl w:val="0"/>
            </w:rPr>
            <w:t xml:space="preserve">Fax: (973) 424-1722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contextualSpacing w:val="0"/>
      <w:jc w:val="center"/>
      <w:rPr>
        <w:color w:val="ff3333"/>
        <w:sz w:val="18"/>
        <w:szCs w:val="18"/>
      </w:rPr>
    </w:pPr>
    <w:r w:rsidDel="00000000" w:rsidR="00000000" w:rsidRPr="00000000">
      <w:rPr>
        <w:color w:val="ff3333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-1350" w:firstLine="0"/>
      <w:contextualSpacing w:val="0"/>
      <w:rPr/>
    </w:pPr>
    <w:r w:rsidDel="00000000" w:rsidR="00000000" w:rsidRPr="00000000">
      <w:rPr>
        <w:rtl w:val="0"/>
      </w:rPr>
    </w:r>
  </w:p>
  <w:tbl>
    <w:tblPr>
      <w:tblStyle w:val="Table1"/>
      <w:tblW w:w="11940.0" w:type="dxa"/>
      <w:jc w:val="left"/>
      <w:tblInd w:w="-125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715"/>
      <w:gridCol w:w="6225"/>
      <w:tblGridChange w:id="0">
        <w:tblGrid>
          <w:gridCol w:w="5715"/>
          <w:gridCol w:w="622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ind w:left="75" w:firstLine="0"/>
            <w:contextualSpacing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ind w:left="75" w:firstLine="0"/>
            <w:contextualSpacing w:val="0"/>
            <w:jc w:val="righ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457325" cy="590550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15007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ind w:left="-1350" w:firstLine="0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16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940"/>
      <w:gridCol w:w="5940"/>
      <w:tblGridChange w:id="0">
        <w:tblGrid>
          <w:gridCol w:w="5940"/>
          <w:gridCol w:w="5940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ff3333" w:space="0" w:sz="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spacing w:after="0" w:line="240" w:lineRule="auto"/>
            <w:ind w:right="-285"/>
            <w:contextualSpacing w:val="0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2709863" cy="1164096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0" l="0" r="19897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9863" cy="1164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ff3333" w:space="0" w:sz="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widowControl w:val="0"/>
            <w:spacing w:after="0" w:line="240" w:lineRule="auto"/>
            <w:ind w:right="75"/>
            <w:contextualSpacing w:val="0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widowControl w:val="0"/>
            <w:spacing w:after="0" w:line="240" w:lineRule="auto"/>
            <w:ind w:right="75"/>
            <w:contextualSpacing w:val="0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widowControl w:val="0"/>
            <w:spacing w:after="0" w:line="240" w:lineRule="auto"/>
            <w:ind w:right="75"/>
            <w:contextualSpacing w:val="0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widowControl w:val="0"/>
            <w:spacing w:after="0" w:line="240" w:lineRule="auto"/>
            <w:ind w:right="75"/>
            <w:contextualSpacing w:val="0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widowControl w:val="0"/>
            <w:spacing w:after="0" w:line="240" w:lineRule="auto"/>
            <w:ind w:right="75"/>
            <w:contextualSpacing w:val="0"/>
            <w:jc w:val="right"/>
            <w:rPr>
              <w:rFonts w:ascii="Rosario" w:cs="Rosario" w:eastAsia="Rosario" w:hAnsi="Rosario"/>
              <w:sz w:val="22"/>
              <w:szCs w:val="22"/>
            </w:rPr>
          </w:pPr>
          <w:r w:rsidDel="00000000" w:rsidR="00000000" w:rsidRPr="00000000">
            <w:rPr>
              <w:rFonts w:ascii="Rosario" w:cs="Rosario" w:eastAsia="Rosario" w:hAnsi="Rosario"/>
              <w:sz w:val="22"/>
              <w:szCs w:val="22"/>
              <w:rtl w:val="0"/>
            </w:rPr>
            <w:t xml:space="preserve">Dr. Satya Narisety MD</w:t>
          </w:r>
        </w:p>
        <w:p w:rsidR="00000000" w:rsidDel="00000000" w:rsidP="00000000" w:rsidRDefault="00000000" w:rsidRPr="00000000">
          <w:pPr>
            <w:widowControl w:val="0"/>
            <w:spacing w:after="0" w:line="240" w:lineRule="auto"/>
            <w:ind w:right="75"/>
            <w:contextualSpacing w:val="0"/>
            <w:jc w:val="right"/>
            <w:rPr>
              <w:rFonts w:ascii="Rosario" w:cs="Rosario" w:eastAsia="Rosario" w:hAnsi="Rosario"/>
              <w:sz w:val="18"/>
              <w:szCs w:val="18"/>
            </w:rPr>
          </w:pPr>
          <w:r w:rsidDel="00000000" w:rsidR="00000000" w:rsidRPr="00000000">
            <w:rPr>
              <w:rFonts w:ascii="Rosario" w:cs="Rosario" w:eastAsia="Rosario" w:hAnsi="Rosario"/>
              <w:sz w:val="18"/>
              <w:szCs w:val="18"/>
              <w:rtl w:val="0"/>
            </w:rPr>
            <w:t xml:space="preserve">www.njallergymd.com</w:t>
          </w:r>
        </w:p>
      </w:tc>
    </w:tr>
  </w:tbl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Playfair Display" w:cs="Playfair Display" w:eastAsia="Playfair Display" w:hAnsi="Playfair Displ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30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Roboto Medium" w:cs="Roboto Medium" w:eastAsia="Roboto Medium" w:hAnsi="Roboto Medium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www.foodallergy.org" TargetMode="External"/><Relationship Id="rId7" Type="http://schemas.openxmlformats.org/officeDocument/2006/relationships/hyperlink" Target="http://www.foodallergy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edium-regular.ttf"/><Relationship Id="rId2" Type="http://schemas.openxmlformats.org/officeDocument/2006/relationships/font" Target="fonts/RobotoMedium-bold.ttf"/><Relationship Id="rId3" Type="http://schemas.openxmlformats.org/officeDocument/2006/relationships/font" Target="fonts/RobotoMedium-italic.ttf"/><Relationship Id="rId4" Type="http://schemas.openxmlformats.org/officeDocument/2006/relationships/font" Target="fonts/RobotoMedium-boldItalic.ttf"/><Relationship Id="rId11" Type="http://schemas.openxmlformats.org/officeDocument/2006/relationships/font" Target="fonts/Rosario-italic.ttf"/><Relationship Id="rId10" Type="http://schemas.openxmlformats.org/officeDocument/2006/relationships/font" Target="fonts/Rosario-bold.ttf"/><Relationship Id="rId12" Type="http://schemas.openxmlformats.org/officeDocument/2006/relationships/font" Target="fonts/Rosario-boldItalic.ttf"/><Relationship Id="rId9" Type="http://schemas.openxmlformats.org/officeDocument/2006/relationships/font" Target="fonts/Rosari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